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bookmarkStart w:id="0" w:name="_GoBack"/>
      <w:r>
        <w:rPr>
          <w:rFonts w:hint="eastAsia" w:ascii="黑体" w:hAnsi="黑体" w:eastAsia="黑体" w:cs="黑体"/>
          <w:sz w:val="32"/>
          <w:szCs w:val="32"/>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佛山市公平贸易工作站申报设立评审标准</w:t>
      </w:r>
    </w:p>
    <w:bookmarkEnd w:id="0"/>
    <w:tbl>
      <w:tblPr>
        <w:tblStyle w:val="4"/>
        <w:tblW w:w="14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153"/>
        <w:gridCol w:w="9444"/>
        <w:gridCol w:w="1151"/>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blHeader/>
          <w:jc w:val="center"/>
        </w:trPr>
        <w:tc>
          <w:tcPr>
            <w:tcW w:w="1485" w:type="dxa"/>
            <w:shd w:val="clear" w:color="auto" w:fill="F2F2F2"/>
            <w:noWrap w:val="0"/>
            <w:vAlign w:val="center"/>
          </w:tcPr>
          <w:p>
            <w:pPr>
              <w:widowControl/>
              <w:spacing w:line="312" w:lineRule="auto"/>
              <w:jc w:val="center"/>
              <w:rPr>
                <w:rFonts w:hint="eastAsia" w:ascii="方正小标宋简体" w:hAnsi="方正小标宋简体" w:eastAsia="方正小标宋简体" w:cs="方正小标宋简体"/>
                <w:kern w:val="0"/>
                <w:sz w:val="24"/>
              </w:rPr>
            </w:pPr>
            <w:r>
              <w:rPr>
                <w:rFonts w:hint="eastAsia" w:ascii="方正小标宋简体" w:hAnsi="方正小标宋简体" w:eastAsia="方正小标宋简体" w:cs="方正小标宋简体"/>
                <w:kern w:val="0"/>
                <w:sz w:val="24"/>
              </w:rPr>
              <w:t>指标</w:t>
            </w:r>
          </w:p>
        </w:tc>
        <w:tc>
          <w:tcPr>
            <w:tcW w:w="1153" w:type="dxa"/>
            <w:shd w:val="clear" w:color="auto" w:fill="F2F2F2"/>
            <w:noWrap w:val="0"/>
            <w:vAlign w:val="center"/>
          </w:tcPr>
          <w:p>
            <w:pPr>
              <w:widowControl/>
              <w:spacing w:line="312" w:lineRule="auto"/>
              <w:jc w:val="center"/>
              <w:rPr>
                <w:rFonts w:hint="eastAsia" w:ascii="方正小标宋简体" w:hAnsi="方正小标宋简体" w:eastAsia="方正小标宋简体" w:cs="方正小标宋简体"/>
                <w:kern w:val="0"/>
                <w:sz w:val="24"/>
              </w:rPr>
            </w:pPr>
            <w:r>
              <w:rPr>
                <w:rFonts w:hint="eastAsia" w:ascii="方正小标宋简体" w:hAnsi="方正小标宋简体" w:eastAsia="方正小标宋简体" w:cs="方正小标宋简体"/>
                <w:kern w:val="0"/>
                <w:sz w:val="24"/>
              </w:rPr>
              <w:t>申报</w:t>
            </w:r>
          </w:p>
          <w:p>
            <w:pPr>
              <w:widowControl/>
              <w:spacing w:line="312" w:lineRule="auto"/>
              <w:jc w:val="center"/>
              <w:rPr>
                <w:rFonts w:hint="eastAsia" w:ascii="方正小标宋简体" w:hAnsi="方正小标宋简体" w:eastAsia="方正小标宋简体" w:cs="方正小标宋简体"/>
                <w:kern w:val="0"/>
                <w:sz w:val="24"/>
              </w:rPr>
            </w:pPr>
            <w:r>
              <w:rPr>
                <w:rFonts w:hint="eastAsia" w:ascii="方正小标宋简体" w:hAnsi="方正小标宋简体" w:eastAsia="方正小标宋简体" w:cs="方正小标宋简体"/>
                <w:kern w:val="0"/>
                <w:sz w:val="24"/>
              </w:rPr>
              <w:t>类别</w:t>
            </w:r>
          </w:p>
        </w:tc>
        <w:tc>
          <w:tcPr>
            <w:tcW w:w="9444" w:type="dxa"/>
            <w:shd w:val="clear" w:color="auto" w:fill="F2F2F2"/>
            <w:noWrap w:val="0"/>
            <w:vAlign w:val="center"/>
          </w:tcPr>
          <w:p>
            <w:pPr>
              <w:widowControl/>
              <w:spacing w:line="312" w:lineRule="auto"/>
              <w:jc w:val="center"/>
              <w:rPr>
                <w:rFonts w:hint="eastAsia" w:ascii="方正小标宋简体" w:hAnsi="方正小标宋简体" w:eastAsia="方正小标宋简体" w:cs="方正小标宋简体"/>
                <w:kern w:val="0"/>
                <w:sz w:val="24"/>
              </w:rPr>
            </w:pPr>
            <w:r>
              <w:rPr>
                <w:rFonts w:hint="eastAsia" w:ascii="方正小标宋简体" w:hAnsi="方正小标宋简体" w:eastAsia="方正小标宋简体" w:cs="方正小标宋简体"/>
                <w:kern w:val="0"/>
                <w:sz w:val="24"/>
              </w:rPr>
              <w:t>评审标准及说明</w:t>
            </w:r>
          </w:p>
        </w:tc>
        <w:tc>
          <w:tcPr>
            <w:tcW w:w="1151" w:type="dxa"/>
            <w:shd w:val="clear" w:color="auto" w:fill="F2F2F2"/>
            <w:noWrap w:val="0"/>
            <w:vAlign w:val="center"/>
          </w:tcPr>
          <w:p>
            <w:pPr>
              <w:widowControl/>
              <w:spacing w:line="312" w:lineRule="auto"/>
              <w:jc w:val="center"/>
              <w:rPr>
                <w:rFonts w:hint="eastAsia" w:ascii="方正小标宋简体" w:hAnsi="方正小标宋简体" w:eastAsia="方正小标宋简体" w:cs="方正小标宋简体"/>
                <w:kern w:val="0"/>
                <w:sz w:val="24"/>
              </w:rPr>
            </w:pPr>
            <w:r>
              <w:rPr>
                <w:rFonts w:hint="eastAsia" w:ascii="方正小标宋简体" w:hAnsi="方正小标宋简体" w:eastAsia="方正小标宋简体" w:cs="方正小标宋简体"/>
                <w:kern w:val="0"/>
                <w:sz w:val="24"/>
              </w:rPr>
              <w:t>分值</w:t>
            </w:r>
          </w:p>
        </w:tc>
        <w:tc>
          <w:tcPr>
            <w:tcW w:w="1151" w:type="dxa"/>
            <w:shd w:val="clear" w:color="auto" w:fill="F2F2F2"/>
            <w:noWrap w:val="0"/>
            <w:vAlign w:val="center"/>
          </w:tcPr>
          <w:p>
            <w:pPr>
              <w:widowControl/>
              <w:spacing w:line="312" w:lineRule="auto"/>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restart"/>
            <w:noWrap w:val="0"/>
            <w:vAlign w:val="center"/>
          </w:tcPr>
          <w:p>
            <w:pPr>
              <w:widowControl/>
              <w:spacing w:line="312" w:lineRule="auto"/>
              <w:jc w:val="center"/>
              <w:rPr>
                <w:rFonts w:hint="eastAsia" w:ascii="方正小标宋简体" w:hAnsi="方正小标宋简体" w:eastAsia="方正小标宋简体" w:cs="方正小标宋简体"/>
                <w:kern w:val="0"/>
                <w:szCs w:val="21"/>
              </w:rPr>
            </w:pPr>
          </w:p>
          <w:p>
            <w:pPr>
              <w:widowControl/>
              <w:spacing w:line="312" w:lineRule="auto"/>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能力要素</w:t>
            </w:r>
          </w:p>
          <w:p>
            <w:pPr>
              <w:widowControl/>
              <w:spacing w:line="312" w:lineRule="auto"/>
              <w:jc w:val="center"/>
              <w:rPr>
                <w:rFonts w:hint="eastAsia" w:ascii="方正小标宋简体" w:hAnsi="方正小标宋简体" w:eastAsia="方正小标宋简体" w:cs="方正小标宋简体"/>
                <w:kern w:val="0"/>
                <w:szCs w:val="21"/>
              </w:rPr>
            </w:pPr>
          </w:p>
        </w:tc>
        <w:tc>
          <w:tcPr>
            <w:tcW w:w="1153" w:type="dxa"/>
            <w:vMerge w:val="restart"/>
            <w:noWrap w:val="0"/>
            <w:vAlign w:val="center"/>
          </w:tcPr>
          <w:p>
            <w:pPr>
              <w:widowControl/>
              <w:spacing w:line="312" w:lineRule="auto"/>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行业组织</w:t>
            </w: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行业组织会员企业数80家以上或年进出口额超过500万美元的会员企业20家以上。（10分）</w:t>
            </w:r>
          </w:p>
        </w:tc>
        <w:tc>
          <w:tcPr>
            <w:tcW w:w="1151" w:type="dxa"/>
            <w:vMerge w:val="restart"/>
            <w:noWrap w:val="0"/>
            <w:vAlign w:val="center"/>
          </w:tcPr>
          <w:p>
            <w:pPr>
              <w:widowControl/>
              <w:spacing w:line="312" w:lineRule="auto"/>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25分</w:t>
            </w: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近三年有完成对本行业有重要影响的工作（如调研成果）。（10分）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近三年有开展与公平贸易相关的重要工作或案例（如调研成果）。（5分）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continue"/>
            <w:noWrap w:val="0"/>
            <w:vAlign w:val="center"/>
          </w:tcPr>
          <w:p>
            <w:pPr>
              <w:spacing w:line="312" w:lineRule="auto"/>
              <w:jc w:val="center"/>
              <w:rPr>
                <w:rFonts w:hint="eastAsia" w:ascii="方正小标宋简体" w:hAnsi="方正小标宋简体" w:eastAsia="方正小标宋简体" w:cs="方正小标宋简体"/>
                <w:szCs w:val="21"/>
              </w:rPr>
            </w:pPr>
          </w:p>
        </w:tc>
        <w:tc>
          <w:tcPr>
            <w:tcW w:w="1153" w:type="dxa"/>
            <w:vMerge w:val="restart"/>
            <w:noWrap w:val="0"/>
            <w:vAlign w:val="center"/>
          </w:tcPr>
          <w:p>
            <w:pPr>
              <w:spacing w:line="312" w:lineRule="auto"/>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Cs w:val="21"/>
              </w:rPr>
              <w:t>科研机构</w:t>
            </w: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具有熟悉相关公平贸易方面的专业研究人才。（10分）</w:t>
            </w:r>
          </w:p>
        </w:tc>
        <w:tc>
          <w:tcPr>
            <w:tcW w:w="1151" w:type="dxa"/>
            <w:vMerge w:val="restart"/>
            <w:noWrap w:val="0"/>
            <w:vAlign w:val="center"/>
          </w:tcPr>
          <w:p>
            <w:pPr>
              <w:spacing w:line="312" w:lineRule="auto"/>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szCs w:val="21"/>
              </w:rPr>
              <w:t>35分</w:t>
            </w:r>
          </w:p>
        </w:tc>
        <w:tc>
          <w:tcPr>
            <w:tcW w:w="1151" w:type="dxa"/>
            <w:noWrap w:val="0"/>
            <w:vAlign w:val="center"/>
          </w:tcPr>
          <w:p>
            <w:pPr>
              <w:spacing w:line="312" w:lineRule="auto"/>
              <w:jc w:val="center"/>
              <w:rPr>
                <w:rFonts w:hint="eastAsia" w:ascii="方正小标宋简体" w:hAnsi="方正小标宋简体" w:eastAsia="方正小标宋简体" w:cs="方正小标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continue"/>
            <w:noWrap w:val="0"/>
            <w:vAlign w:val="center"/>
          </w:tcPr>
          <w:p>
            <w:pPr>
              <w:spacing w:line="312" w:lineRule="auto"/>
              <w:jc w:val="center"/>
              <w:rPr>
                <w:rFonts w:hint="eastAsia" w:ascii="方正小标宋简体" w:hAnsi="方正小标宋简体" w:eastAsia="方正小标宋简体" w:cs="方正小标宋简体"/>
                <w:kern w:val="0"/>
                <w:szCs w:val="21"/>
              </w:rPr>
            </w:pPr>
          </w:p>
        </w:tc>
        <w:tc>
          <w:tcPr>
            <w:tcW w:w="1153" w:type="dxa"/>
            <w:vMerge w:val="continue"/>
            <w:noWrap w:val="0"/>
            <w:vAlign w:val="center"/>
          </w:tcPr>
          <w:p>
            <w:pPr>
              <w:spacing w:line="312" w:lineRule="auto"/>
              <w:jc w:val="center"/>
              <w:rPr>
                <w:rFonts w:hint="eastAsia" w:ascii="方正小标宋简体" w:hAnsi="方正小标宋简体" w:eastAsia="方正小标宋简体" w:cs="方正小标宋简体"/>
                <w:kern w:val="0"/>
                <w:szCs w:val="21"/>
              </w:rPr>
            </w:pP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近三年有完成与进出口贸易或涉外法律等方面相关且具有重要影响的课题研究。（15分）</w:t>
            </w:r>
          </w:p>
        </w:tc>
        <w:tc>
          <w:tcPr>
            <w:tcW w:w="1151" w:type="dxa"/>
            <w:vMerge w:val="continue"/>
            <w:noWrap w:val="0"/>
            <w:vAlign w:val="center"/>
          </w:tcPr>
          <w:p>
            <w:pPr>
              <w:spacing w:line="312" w:lineRule="auto"/>
              <w:jc w:val="center"/>
              <w:rPr>
                <w:rFonts w:hint="eastAsia" w:ascii="方正小标宋简体" w:hAnsi="方正小标宋简体" w:eastAsia="方正小标宋简体" w:cs="方正小标宋简体"/>
                <w:kern w:val="0"/>
                <w:szCs w:val="21"/>
              </w:rPr>
            </w:pPr>
          </w:p>
        </w:tc>
        <w:tc>
          <w:tcPr>
            <w:tcW w:w="1151" w:type="dxa"/>
            <w:noWrap w:val="0"/>
            <w:vAlign w:val="center"/>
          </w:tcPr>
          <w:p>
            <w:pPr>
              <w:spacing w:line="312" w:lineRule="auto"/>
              <w:jc w:val="center"/>
              <w:rPr>
                <w:rFonts w:hint="eastAsia" w:ascii="方正小标宋简体" w:hAnsi="方正小标宋简体" w:eastAsia="方正小标宋简体" w:cs="方正小标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85" w:type="dxa"/>
            <w:vMerge w:val="continue"/>
            <w:noWrap w:val="0"/>
            <w:vAlign w:val="center"/>
          </w:tcPr>
          <w:p>
            <w:pPr>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近三年有参与或独立完成与公平贸易方面相关的工作。（10分）</w:t>
            </w:r>
          </w:p>
        </w:tc>
        <w:tc>
          <w:tcPr>
            <w:tcW w:w="1151" w:type="dxa"/>
            <w:vMerge w:val="continue"/>
            <w:noWrap w:val="0"/>
            <w:vAlign w:val="center"/>
          </w:tcPr>
          <w:p>
            <w:pPr>
              <w:spacing w:line="312" w:lineRule="auto"/>
              <w:jc w:val="center"/>
              <w:rPr>
                <w:rFonts w:hint="eastAsia" w:ascii="方正小标宋简体" w:hAnsi="方正小标宋简体" w:eastAsia="方正小标宋简体" w:cs="方正小标宋简体"/>
                <w:kern w:val="0"/>
                <w:szCs w:val="21"/>
              </w:rPr>
            </w:pPr>
          </w:p>
        </w:tc>
        <w:tc>
          <w:tcPr>
            <w:tcW w:w="1151" w:type="dxa"/>
            <w:noWrap w:val="0"/>
            <w:vAlign w:val="center"/>
          </w:tcPr>
          <w:p>
            <w:pPr>
              <w:spacing w:line="312" w:lineRule="auto"/>
              <w:jc w:val="center"/>
              <w:rPr>
                <w:rFonts w:hint="eastAsia" w:ascii="方正小标宋简体" w:hAnsi="方正小标宋简体" w:eastAsia="方正小标宋简体" w:cs="方正小标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restart"/>
            <w:noWrap w:val="0"/>
            <w:vAlign w:val="center"/>
          </w:tcPr>
          <w:p>
            <w:pPr>
              <w:widowControl/>
              <w:spacing w:line="312" w:lineRule="auto"/>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基础要素</w:t>
            </w:r>
          </w:p>
        </w:tc>
        <w:tc>
          <w:tcPr>
            <w:tcW w:w="1153" w:type="dxa"/>
            <w:vMerge w:val="restart"/>
            <w:noWrap w:val="0"/>
            <w:vAlign w:val="center"/>
          </w:tcPr>
          <w:p>
            <w:pPr>
              <w:widowControl/>
              <w:spacing w:line="312" w:lineRule="auto"/>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行业组织</w:t>
            </w: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熟悉行业发展情况，在本区域（行业）具有较强的影响力和组织协调能力。（10分）</w:t>
            </w:r>
          </w:p>
        </w:tc>
        <w:tc>
          <w:tcPr>
            <w:tcW w:w="1151" w:type="dxa"/>
            <w:vMerge w:val="restart"/>
            <w:noWrap w:val="0"/>
            <w:vAlign w:val="center"/>
          </w:tcPr>
          <w:p>
            <w:pPr>
              <w:widowControl/>
              <w:spacing w:line="312" w:lineRule="auto"/>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kern w:val="0"/>
                <w:szCs w:val="21"/>
              </w:rPr>
              <w:t>35分</w:t>
            </w: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kern w:val="0"/>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kern w:val="0"/>
                <w:szCs w:val="21"/>
              </w:rPr>
            </w:pP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本区域</w:t>
            </w:r>
            <w:r>
              <w:rPr>
                <w:rFonts w:hint="eastAsia" w:ascii="黑体" w:hAnsi="黑体" w:eastAsia="黑体" w:cs="黑体"/>
                <w:kern w:val="0"/>
                <w:szCs w:val="21"/>
                <w:lang w:eastAsia="zh-CN"/>
              </w:rPr>
              <w:t>（</w:t>
            </w:r>
            <w:r>
              <w:rPr>
                <w:rFonts w:hint="eastAsia" w:ascii="黑体" w:hAnsi="黑体" w:eastAsia="黑体" w:cs="黑体"/>
                <w:kern w:val="0"/>
                <w:szCs w:val="21"/>
              </w:rPr>
              <w:t>行业</w:t>
            </w:r>
            <w:r>
              <w:rPr>
                <w:rFonts w:hint="eastAsia" w:ascii="黑体" w:hAnsi="黑体" w:eastAsia="黑体" w:cs="黑体"/>
                <w:kern w:val="0"/>
                <w:szCs w:val="21"/>
                <w:lang w:eastAsia="zh-CN"/>
              </w:rPr>
              <w:t>）</w:t>
            </w:r>
            <w:r>
              <w:rPr>
                <w:rFonts w:hint="eastAsia" w:ascii="黑体" w:hAnsi="黑体" w:eastAsia="黑体" w:cs="黑体"/>
                <w:kern w:val="0"/>
                <w:szCs w:val="21"/>
              </w:rPr>
              <w:t>近三年受国际经贸摩擦冲击较大，国际贸易摩擦案件较多。（10分）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具有基本的组织、财务架构。（5分）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具有开展公平贸易工作的人员和工作条件（如场地、设备等）。（10分）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restart"/>
            <w:noWrap w:val="0"/>
            <w:vAlign w:val="center"/>
          </w:tcPr>
          <w:p>
            <w:pPr>
              <w:widowControl/>
              <w:tabs>
                <w:tab w:val="left" w:pos="475"/>
              </w:tabs>
              <w:spacing w:line="312" w:lineRule="auto"/>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Cs w:val="21"/>
              </w:rPr>
              <w:t>科研机构</w:t>
            </w: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具备在本市某一科研领域具有较大影响力或权威。（10分）</w:t>
            </w:r>
          </w:p>
        </w:tc>
        <w:tc>
          <w:tcPr>
            <w:tcW w:w="1151" w:type="dxa"/>
            <w:vMerge w:val="restart"/>
            <w:noWrap w:val="0"/>
            <w:vAlign w:val="center"/>
          </w:tcPr>
          <w:p>
            <w:pPr>
              <w:widowControl/>
              <w:spacing w:line="312" w:lineRule="auto"/>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kern w:val="0"/>
                <w:szCs w:val="21"/>
              </w:rPr>
              <w:t>20分</w:t>
            </w: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具有基本的组织、财务架构。（5分）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具有开展公平</w:t>
            </w:r>
            <w:r>
              <w:rPr>
                <w:rFonts w:hint="eastAsia" w:ascii="黑体" w:hAnsi="黑体" w:eastAsia="黑体" w:cs="黑体"/>
                <w:kern w:val="0"/>
                <w:szCs w:val="21"/>
                <w:lang w:eastAsia="zh-CN"/>
              </w:rPr>
              <w:t>贸易</w:t>
            </w:r>
            <w:r>
              <w:rPr>
                <w:rFonts w:hint="eastAsia" w:ascii="黑体" w:hAnsi="黑体" w:eastAsia="黑体" w:cs="黑体"/>
                <w:kern w:val="0"/>
                <w:szCs w:val="21"/>
              </w:rPr>
              <w:t>工作的条件（如场地、设备等）。（5分）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485" w:type="dxa"/>
            <w:vMerge w:val="restart"/>
            <w:noWrap w:val="0"/>
            <w:vAlign w:val="center"/>
          </w:tcPr>
          <w:p>
            <w:pPr>
              <w:widowControl/>
              <w:spacing w:line="312" w:lineRule="auto"/>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工作计划</w:t>
            </w:r>
          </w:p>
          <w:p>
            <w:pPr>
              <w:widowControl/>
              <w:spacing w:line="312" w:lineRule="auto"/>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要素</w:t>
            </w:r>
          </w:p>
          <w:p>
            <w:pPr>
              <w:widowControl/>
              <w:spacing w:line="312" w:lineRule="auto"/>
              <w:jc w:val="center"/>
              <w:rPr>
                <w:rFonts w:hint="eastAsia" w:ascii="方正小标宋简体" w:hAnsi="方正小标宋简体" w:eastAsia="方正小标宋简体" w:cs="方正小标宋简体"/>
                <w:kern w:val="0"/>
                <w:szCs w:val="21"/>
              </w:rPr>
            </w:pPr>
          </w:p>
        </w:tc>
        <w:tc>
          <w:tcPr>
            <w:tcW w:w="1153" w:type="dxa"/>
            <w:vMerge w:val="restart"/>
            <w:noWrap w:val="0"/>
            <w:vAlign w:val="center"/>
          </w:tcPr>
          <w:p>
            <w:pPr>
              <w:widowControl/>
              <w:spacing w:line="312" w:lineRule="auto"/>
              <w:jc w:val="center"/>
              <w:rPr>
                <w:rFonts w:hint="eastAsia" w:ascii="方正小标宋简体" w:hAnsi="方正小标宋简体" w:eastAsia="方正小标宋简体" w:cs="方正小标宋简体"/>
                <w:kern w:val="0"/>
                <w:szCs w:val="21"/>
              </w:rPr>
            </w:pPr>
          </w:p>
          <w:p>
            <w:pPr>
              <w:widowControl/>
              <w:spacing w:line="312" w:lineRule="auto"/>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行业组织</w:t>
            </w: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具有专项研究计划。能在行业范围内开展国际贸易摩擦应对、贸易壁垒和产业安全与竞争力等有关公平贸易方面的专题研究，提出具有针对性、建设性意见和建议，为政府提供决策参考。（10分）</w:t>
            </w:r>
          </w:p>
        </w:tc>
        <w:tc>
          <w:tcPr>
            <w:tcW w:w="1151" w:type="dxa"/>
            <w:vMerge w:val="restart"/>
            <w:noWrap w:val="0"/>
            <w:vAlign w:val="center"/>
          </w:tcPr>
          <w:p>
            <w:pPr>
              <w:widowControl/>
              <w:spacing w:line="312" w:lineRule="auto"/>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kern w:val="0"/>
                <w:szCs w:val="21"/>
              </w:rPr>
              <w:t>40分</w:t>
            </w: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具有信息工作计划。能收集整理编写行业内重点国别、重点产业、重点企业或重点产品相关的国际贸易摩擦预警信息、市场趋势、经贸政策等动态信息。（10分）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具有培训计划。能结合行业实际需求，有计划地开展公平贸易专题培训</w:t>
            </w:r>
            <w:r>
              <w:rPr>
                <w:rFonts w:hint="eastAsia" w:ascii="黑体" w:hAnsi="黑体" w:eastAsia="黑体" w:cs="黑体"/>
                <w:kern w:val="0"/>
                <w:szCs w:val="21"/>
                <w:lang w:eastAsia="zh-CN"/>
              </w:rPr>
              <w:t>等</w:t>
            </w:r>
            <w:r>
              <w:rPr>
                <w:rFonts w:hint="eastAsia" w:ascii="黑体" w:hAnsi="黑体" w:eastAsia="黑体" w:cs="黑体"/>
                <w:kern w:val="0"/>
                <w:szCs w:val="21"/>
              </w:rPr>
              <w:t>。（8分）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spacing w:line="312" w:lineRule="auto"/>
              <w:jc w:val="left"/>
              <w:rPr>
                <w:rFonts w:hint="eastAsia" w:ascii="黑体" w:hAnsi="黑体" w:eastAsia="黑体" w:cs="黑体"/>
                <w:kern w:val="0"/>
                <w:szCs w:val="21"/>
              </w:rPr>
            </w:pPr>
            <w:r>
              <w:rPr>
                <w:rFonts w:hint="eastAsia" w:ascii="黑体" w:hAnsi="黑体" w:eastAsia="黑体" w:cs="黑体"/>
                <w:kern w:val="0"/>
                <w:szCs w:val="21"/>
              </w:rPr>
              <w:t>具有宣传与咨询工作计划。能结合实际，开展公平贸易有关法律政策信息的宣传与咨询服务。（5分）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jc w:val="left"/>
              <w:rPr>
                <w:rFonts w:hint="eastAsia" w:ascii="方正小标宋简体" w:hAnsi="方正小标宋简体" w:eastAsia="方正小标宋简体" w:cs="方正小标宋简体"/>
                <w:kern w:val="0"/>
                <w:szCs w:val="21"/>
              </w:rPr>
            </w:pPr>
            <w:r>
              <w:rPr>
                <w:rFonts w:hint="eastAsia" w:ascii="黑体" w:hAnsi="黑体" w:eastAsia="黑体" w:cs="黑体"/>
                <w:kern w:val="0"/>
                <w:szCs w:val="21"/>
              </w:rPr>
              <w:t>具有案件应对计划。能结合贸易摩擦案件，牵头组织协调应对工作。包括共同应对贸易摩擦、开展无损害抗辩等。（5分）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jc w:val="left"/>
              <w:rPr>
                <w:rFonts w:hint="eastAsia" w:ascii="黑体" w:hAnsi="黑体" w:eastAsia="黑体" w:cs="黑体"/>
                <w:kern w:val="0"/>
                <w:szCs w:val="21"/>
              </w:rPr>
            </w:pPr>
            <w:r>
              <w:rPr>
                <w:rFonts w:hint="eastAsia" w:ascii="黑体" w:hAnsi="黑体" w:eastAsia="黑体" w:cs="黑体"/>
                <w:kern w:val="0"/>
                <w:szCs w:val="21"/>
              </w:rPr>
              <w:t>具有其他与公平贸易工作相关的工作计划。（2分）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restart"/>
            <w:noWrap w:val="0"/>
            <w:vAlign w:val="center"/>
          </w:tcPr>
          <w:p>
            <w:pPr>
              <w:widowControl/>
              <w:spacing w:line="312" w:lineRule="auto"/>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Cs w:val="21"/>
              </w:rPr>
              <w:t>科研机构</w:t>
            </w:r>
          </w:p>
        </w:tc>
        <w:tc>
          <w:tcPr>
            <w:tcW w:w="9444" w:type="dxa"/>
            <w:noWrap w:val="0"/>
            <w:vAlign w:val="center"/>
          </w:tcPr>
          <w:p>
            <w:pPr>
              <w:jc w:val="left"/>
              <w:rPr>
                <w:rFonts w:hint="eastAsia" w:ascii="黑体" w:hAnsi="黑体" w:eastAsia="黑体" w:cs="黑体"/>
                <w:kern w:val="0"/>
                <w:szCs w:val="21"/>
              </w:rPr>
            </w:pPr>
            <w:r>
              <w:rPr>
                <w:rFonts w:hint="eastAsia" w:ascii="黑体" w:hAnsi="黑体" w:eastAsia="黑体" w:cs="黑体"/>
                <w:kern w:val="0"/>
                <w:szCs w:val="21"/>
              </w:rPr>
              <w:t>具有专项研究计划。能开展贸易摩擦应对、贸易壁垒和产业安全与竞争力等方面专题研究。（10分）</w:t>
            </w:r>
          </w:p>
        </w:tc>
        <w:tc>
          <w:tcPr>
            <w:tcW w:w="1151" w:type="dxa"/>
            <w:vMerge w:val="restart"/>
            <w:noWrap w:val="0"/>
            <w:vAlign w:val="center"/>
          </w:tcPr>
          <w:p>
            <w:pPr>
              <w:widowControl/>
              <w:spacing w:line="312" w:lineRule="auto"/>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kern w:val="0"/>
                <w:szCs w:val="21"/>
              </w:rPr>
              <w:t>45分</w:t>
            </w: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jc w:val="left"/>
              <w:rPr>
                <w:rFonts w:hint="eastAsia" w:ascii="黑体" w:hAnsi="黑体" w:eastAsia="黑体" w:cs="黑体"/>
                <w:kern w:val="0"/>
                <w:szCs w:val="21"/>
              </w:rPr>
            </w:pPr>
            <w:r>
              <w:rPr>
                <w:rFonts w:hint="eastAsia" w:ascii="黑体" w:hAnsi="黑体" w:eastAsia="黑体" w:cs="黑体"/>
                <w:kern w:val="0"/>
                <w:szCs w:val="21"/>
              </w:rPr>
              <w:t>具有信息工作计划。能收集整理、评估分析我市相关行业生产、经营、产品异动、贸易摩擦等情况，撰写简报信息等。（10分）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jc w:val="left"/>
              <w:rPr>
                <w:rFonts w:hint="eastAsia" w:ascii="黑体" w:hAnsi="黑体" w:eastAsia="黑体" w:cs="黑体"/>
                <w:kern w:val="0"/>
                <w:szCs w:val="21"/>
              </w:rPr>
            </w:pPr>
            <w:r>
              <w:rPr>
                <w:rFonts w:hint="eastAsia" w:ascii="黑体" w:hAnsi="黑体" w:eastAsia="黑体" w:cs="黑体"/>
                <w:kern w:val="0"/>
                <w:szCs w:val="21"/>
              </w:rPr>
              <w:t>具有培训计划。能结合实际需求，分专题、领域开展公平贸易专题培训</w:t>
            </w:r>
            <w:r>
              <w:rPr>
                <w:rFonts w:hint="eastAsia" w:ascii="黑体" w:hAnsi="黑体" w:eastAsia="黑体" w:cs="黑体"/>
                <w:kern w:val="0"/>
                <w:szCs w:val="21"/>
                <w:lang w:eastAsia="zh-CN"/>
              </w:rPr>
              <w:t>等</w:t>
            </w:r>
            <w:r>
              <w:rPr>
                <w:rFonts w:hint="eastAsia" w:ascii="黑体" w:hAnsi="黑体" w:eastAsia="黑体" w:cs="黑体"/>
                <w:kern w:val="0"/>
                <w:szCs w:val="21"/>
              </w:rPr>
              <w:t>。（10分）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jc w:val="left"/>
              <w:rPr>
                <w:rFonts w:hint="eastAsia" w:ascii="黑体" w:hAnsi="黑体" w:eastAsia="黑体" w:cs="黑体"/>
                <w:kern w:val="0"/>
                <w:szCs w:val="21"/>
              </w:rPr>
            </w:pPr>
            <w:r>
              <w:rPr>
                <w:rFonts w:hint="eastAsia" w:ascii="黑体" w:hAnsi="黑体" w:eastAsia="黑体" w:cs="黑体"/>
                <w:kern w:val="0"/>
                <w:szCs w:val="21"/>
              </w:rPr>
              <w:t>具有宣传与咨询工作计划。能结合实际，开展公平贸易方面法规政策宣传与法律服务咨询等。（5分）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jc w:val="left"/>
              <w:rPr>
                <w:rFonts w:hint="eastAsia" w:ascii="黑体" w:hAnsi="黑体" w:eastAsia="黑体" w:cs="黑体"/>
                <w:kern w:val="0"/>
                <w:szCs w:val="21"/>
              </w:rPr>
            </w:pPr>
            <w:r>
              <w:rPr>
                <w:rFonts w:hint="eastAsia" w:ascii="黑体" w:hAnsi="黑体" w:eastAsia="黑体" w:cs="黑体"/>
                <w:kern w:val="0"/>
                <w:szCs w:val="21"/>
              </w:rPr>
              <w:t>具有案件应对计划。能结合具体公平贸易工作案件，为应对国际贸易摩擦工作提出针对性的意见或建议，案件结束后，开展贸易摩擦应对效果评估。（8分）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485"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3"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9444" w:type="dxa"/>
            <w:noWrap w:val="0"/>
            <w:vAlign w:val="center"/>
          </w:tcPr>
          <w:p>
            <w:pPr>
              <w:jc w:val="left"/>
              <w:rPr>
                <w:rFonts w:hint="eastAsia" w:ascii="黑体" w:hAnsi="黑体" w:eastAsia="黑体" w:cs="黑体"/>
                <w:kern w:val="0"/>
                <w:szCs w:val="21"/>
              </w:rPr>
            </w:pPr>
            <w:r>
              <w:rPr>
                <w:rFonts w:hint="eastAsia" w:ascii="黑体" w:hAnsi="黑体" w:eastAsia="黑体" w:cs="黑体"/>
                <w:kern w:val="0"/>
                <w:szCs w:val="21"/>
              </w:rPr>
              <w:t>具有其他与公平贸易工作相关的工作计划。（2分）</w:t>
            </w:r>
          </w:p>
        </w:tc>
        <w:tc>
          <w:tcPr>
            <w:tcW w:w="1151" w:type="dxa"/>
            <w:vMerge w:val="continue"/>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c>
          <w:tcPr>
            <w:tcW w:w="1151" w:type="dxa"/>
            <w:noWrap w:val="0"/>
            <w:vAlign w:val="center"/>
          </w:tcPr>
          <w:p>
            <w:pPr>
              <w:widowControl/>
              <w:spacing w:line="312" w:lineRule="auto"/>
              <w:jc w:val="center"/>
              <w:rPr>
                <w:rFonts w:hint="eastAsia" w:ascii="方正小标宋简体" w:hAnsi="方正小标宋简体" w:eastAsia="方正小标宋简体" w:cs="方正小标宋简体"/>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13ACA"/>
    <w:rsid w:val="6081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2"/>
    <w:basedOn w:val="3"/>
    <w:qFormat/>
    <w:uiPriority w:val="0"/>
    <w:pPr>
      <w:spacing w:after="120" w:afterLines="0" w:line="480" w:lineRule="auto"/>
    </w:pPr>
  </w:style>
  <w:style w:type="paragraph" w:customStyle="1" w:styleId="3">
    <w:name w:val="正文 New New New New New New"/>
    <w:next w:val="2"/>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佛山市商务局</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2022-11-29T02:19:00Z</dcterms:created>
  <dc:creator>刘怡倩</dc:creator>
  <cp:lastModifiedBy>刘怡倩</cp:lastModifiedBy>
  <dcterms:modified xsi:type="dcterms:W3CDTF">2022-11-29T02:20:25Z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4516021D155F4893BE14E539A03DDA5C</vt:lpwstr>
  </property>
</Properties>
</file>